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99" w:rsidRDefault="00D25E99" w:rsidP="004925C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PERIYODIK KONTROL VE MUAYENE TARAFSIZLIK BEYANI</w:t>
      </w:r>
      <w:bookmarkStart w:id="0" w:name="_GoBack"/>
      <w:bookmarkEnd w:id="0"/>
    </w:p>
    <w:p w:rsidR="00D25E99" w:rsidRPr="000E0C83" w:rsidRDefault="00D25E99" w:rsidP="00D25E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p w:rsidR="00D25E99" w:rsidRDefault="00D25E99" w:rsidP="00D25E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rFonts w:eastAsia="Times New Roman" w:cstheme="minorHAnsi"/>
          <w:b/>
          <w:color w:val="222222"/>
          <w:sz w:val="20"/>
          <w:szCs w:val="20"/>
        </w:rPr>
        <w:t>ATACERT Global Teknik Kontrol Belgelendirme</w:t>
      </w:r>
      <w:r w:rsidRPr="00AC710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periyodik kontroller, muayene ve</w:t>
      </w:r>
      <w:r w:rsidRPr="00AC7100">
        <w:rPr>
          <w:rFonts w:cstheme="minorHAnsi"/>
          <w:sz w:val="20"/>
          <w:szCs w:val="20"/>
        </w:rPr>
        <w:t xml:space="preserve"> yıllık kontrolleri değerlendirme denetimi öncesinde, sırasında ve sonrasında hiçbir baskı, telkin ve</w:t>
      </w:r>
      <w:r>
        <w:rPr>
          <w:rFonts w:cstheme="minorHAnsi"/>
          <w:sz w:val="20"/>
          <w:szCs w:val="20"/>
        </w:rPr>
        <w:t xml:space="preserve"> </w:t>
      </w:r>
      <w:r w:rsidRPr="00AC7100">
        <w:rPr>
          <w:rFonts w:cstheme="minorHAnsi"/>
          <w:sz w:val="20"/>
          <w:szCs w:val="20"/>
        </w:rPr>
        <w:t xml:space="preserve">tavsiyede bulunmayacağını, </w:t>
      </w:r>
      <w:r>
        <w:rPr>
          <w:rFonts w:cstheme="minorHAnsi"/>
          <w:sz w:val="20"/>
          <w:szCs w:val="20"/>
        </w:rPr>
        <w:t xml:space="preserve">çalışmada </w:t>
      </w:r>
      <w:r w:rsidRPr="00AC7100">
        <w:rPr>
          <w:rFonts w:cstheme="minorHAnsi"/>
          <w:sz w:val="20"/>
          <w:szCs w:val="20"/>
        </w:rPr>
        <w:t>görev alan personelin kendi inisiyatif</w:t>
      </w:r>
      <w:r>
        <w:rPr>
          <w:rFonts w:cstheme="minorHAnsi"/>
          <w:sz w:val="20"/>
          <w:szCs w:val="20"/>
        </w:rPr>
        <w:t>i</w:t>
      </w:r>
      <w:r w:rsidRPr="00AC7100">
        <w:rPr>
          <w:rFonts w:cstheme="minorHAnsi"/>
          <w:sz w:val="20"/>
          <w:szCs w:val="20"/>
        </w:rPr>
        <w:t>, bilgi birikimi ve deneyimleri kapsamında</w:t>
      </w:r>
      <w:r>
        <w:rPr>
          <w:rFonts w:cstheme="minorHAnsi"/>
          <w:sz w:val="20"/>
          <w:szCs w:val="20"/>
        </w:rPr>
        <w:t xml:space="preserve"> </w:t>
      </w:r>
      <w:r w:rsidRPr="00AC7100">
        <w:rPr>
          <w:rFonts w:cstheme="minorHAnsi"/>
          <w:sz w:val="20"/>
          <w:szCs w:val="20"/>
        </w:rPr>
        <w:t>karar vermelerini, bu konudaki çalışmalarını bağımsız ve tarafsız olarak yürütecekleri bir ortam sağlamayı</w:t>
      </w:r>
      <w:r>
        <w:rPr>
          <w:rFonts w:cstheme="minorHAnsi"/>
          <w:sz w:val="20"/>
          <w:szCs w:val="20"/>
        </w:rPr>
        <w:t xml:space="preserve"> </w:t>
      </w:r>
      <w:r w:rsidRPr="00AC7100">
        <w:rPr>
          <w:rFonts w:cstheme="minorHAnsi"/>
          <w:sz w:val="20"/>
          <w:szCs w:val="20"/>
        </w:rPr>
        <w:t xml:space="preserve">taahhüt </w:t>
      </w:r>
      <w:r w:rsidRPr="000959A8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tmektedir</w:t>
      </w:r>
      <w:proofErr w:type="gramStart"/>
      <w:r>
        <w:rPr>
          <w:rFonts w:cstheme="minorHAnsi"/>
          <w:sz w:val="20"/>
          <w:szCs w:val="20"/>
        </w:rPr>
        <w:t>.</w:t>
      </w:r>
      <w:r w:rsidRPr="00AC7100">
        <w:rPr>
          <w:rFonts w:cstheme="minorHAnsi"/>
          <w:sz w:val="20"/>
          <w:szCs w:val="20"/>
        </w:rPr>
        <w:t>.</w:t>
      </w:r>
      <w:proofErr w:type="gramEnd"/>
    </w:p>
    <w:p w:rsidR="00D25E99" w:rsidRPr="00AC7100" w:rsidRDefault="00D25E99" w:rsidP="00D25E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 xml:space="preserve"> bünyesinde kontrol, ölçüm, test, denetim, muayene ve belgelendirme işlemlerini yürüten teknik ve idari her düzeydeki yönetici, teknik personel görev alan tarafsızlığı ve bağımsızlığı etkileyecek hiçbir ilişkisinin olmadığını taahhüt e</w:t>
      </w:r>
      <w:r>
        <w:rPr>
          <w:rFonts w:cstheme="minorHAnsi"/>
          <w:sz w:val="20"/>
          <w:szCs w:val="20"/>
        </w:rPr>
        <w:t>tmektedir.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>nin yönetici ve personeli güven sağlayan muayene hizmetleri vermek için faaliyetlerinde konuya taraf olan tüm kesimlerden bağımsız hizmet vermeyi taahhüt e</w:t>
      </w:r>
      <w:r>
        <w:rPr>
          <w:rFonts w:cstheme="minorHAnsi"/>
          <w:sz w:val="20"/>
          <w:szCs w:val="20"/>
        </w:rPr>
        <w:t>tmektedir.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 xml:space="preserve">ATACERT Belgelendirme </w:t>
      </w:r>
      <w:r w:rsidRPr="000959A8">
        <w:rPr>
          <w:rFonts w:cstheme="minorHAnsi"/>
          <w:sz w:val="20"/>
          <w:szCs w:val="20"/>
        </w:rPr>
        <w:t>muayene hizmetleri faaliyetlerinde güvenin sağlanması ve sürdürülmesinde, aldığı kararları, uygunlu</w:t>
      </w:r>
      <w:r>
        <w:rPr>
          <w:rFonts w:cstheme="minorHAnsi"/>
          <w:sz w:val="20"/>
          <w:szCs w:val="20"/>
        </w:rPr>
        <w:t xml:space="preserve">k </w:t>
      </w:r>
      <w:r w:rsidRPr="000959A8">
        <w:rPr>
          <w:rFonts w:cstheme="minorHAnsi"/>
          <w:sz w:val="20"/>
          <w:szCs w:val="20"/>
        </w:rPr>
        <w:t>veya uygunsuzlu</w:t>
      </w:r>
      <w:r>
        <w:rPr>
          <w:rFonts w:cstheme="minorHAnsi"/>
          <w:sz w:val="20"/>
          <w:szCs w:val="20"/>
        </w:rPr>
        <w:t>kların</w:t>
      </w:r>
      <w:r w:rsidRPr="000959A8">
        <w:rPr>
          <w:rFonts w:cstheme="minorHAnsi"/>
          <w:sz w:val="20"/>
          <w:szCs w:val="20"/>
        </w:rPr>
        <w:t xml:space="preserve"> objektif delillere dayandığını ve bu kararların diğer çıkar sahiplerinin veya diğer tarafların etkilenmeyeceğini beyan e</w:t>
      </w:r>
      <w:r>
        <w:rPr>
          <w:rFonts w:cstheme="minorHAnsi"/>
          <w:sz w:val="20"/>
          <w:szCs w:val="20"/>
        </w:rPr>
        <w:t>tmektedir.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 xml:space="preserve">ATACERT Belgelendirme </w:t>
      </w:r>
      <w:r w:rsidRPr="000959A8">
        <w:rPr>
          <w:rFonts w:cstheme="minorHAnsi"/>
          <w:sz w:val="20"/>
          <w:szCs w:val="20"/>
        </w:rPr>
        <w:t>ve tüm çalışanları, muayene hizmetleri faaliyetleri ile ilgili olarak kararların ve doğruluklarının bağımsızlığı ile çelişecek hiçbir faaliyette bulunma</w:t>
      </w:r>
      <w:r>
        <w:rPr>
          <w:rFonts w:cstheme="minorHAnsi"/>
          <w:sz w:val="20"/>
          <w:szCs w:val="20"/>
        </w:rPr>
        <w:t>yacaktır</w:t>
      </w:r>
      <w:r w:rsidRPr="000959A8">
        <w:rPr>
          <w:rFonts w:cstheme="minorHAnsi"/>
          <w:sz w:val="20"/>
          <w:szCs w:val="20"/>
        </w:rPr>
        <w:t>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 xml:space="preserve">nin hizmetlerine bütün ilgili taraflar eşit olarak erişebilir ve yararlanabilir. </w:t>
      </w: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 xml:space="preserve"> bu konuda gereksiz mali külfet yaratmayacağını taahhüt e</w:t>
      </w:r>
      <w:r>
        <w:rPr>
          <w:rFonts w:cstheme="minorHAnsi"/>
          <w:sz w:val="20"/>
          <w:szCs w:val="20"/>
        </w:rPr>
        <w:t>tmektedir.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>nin tarafsızlığını tehdit eden tüm unsurları tespit eder ve çıkar çatışması önleme analizleri yapar.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 xml:space="preserve"> muayene hizmetleri faaliyetleri ile ilgili danışmanlık hizmeti vermez ve danışmanlık hizmeti veren kuruluşlarla asla işbirliği yapmayacağını taahhüt e</w:t>
      </w:r>
      <w:r>
        <w:rPr>
          <w:rFonts w:cstheme="minorHAnsi"/>
          <w:sz w:val="20"/>
          <w:szCs w:val="20"/>
        </w:rPr>
        <w:t>tmektedir.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 xml:space="preserve"> muayene hizmetlerinde teknik personellerin ücretlendirmeleri, muayene sayısına ve muayene sonucuna bağlı değildir.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>ye muayene hizmetleri talebi yapan kuruluşların ödediği ücret, muayene sonucuna olumlu olacağına hak kazanacakları anlamına gelmez. Bu konuda firmaya teklif aşamasında bilgi verir.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 xml:space="preserve"> muayene hizmetleri talep eden mevcut ve potansiyel tüm firmalara eşit uzaklıktadır. Muayene hizmetleri </w:t>
      </w: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 xml:space="preserve"> </w:t>
      </w:r>
      <w:proofErr w:type="gramStart"/>
      <w:r w:rsidRPr="000959A8">
        <w:rPr>
          <w:rFonts w:cstheme="minorHAnsi"/>
          <w:sz w:val="20"/>
          <w:szCs w:val="20"/>
        </w:rPr>
        <w:t>prosedürlerine</w:t>
      </w:r>
      <w:proofErr w:type="gramEnd"/>
      <w:r w:rsidRPr="000959A8">
        <w:rPr>
          <w:rFonts w:cstheme="minorHAnsi"/>
          <w:sz w:val="20"/>
          <w:szCs w:val="20"/>
        </w:rPr>
        <w:t xml:space="preserve"> göre yapılır.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 xml:space="preserve"> iç ve dış kaynaklı tüm personeli kendilerini veya </w:t>
      </w: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 xml:space="preserve">nin çıkar çatışmasına sokabilecek herhangi bir durumdan haberdar olduklarında derhal durumu </w:t>
      </w: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>ye bildirir.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>ATACERT Belgelendirme</w:t>
      </w:r>
      <w:r w:rsidRPr="000959A8">
        <w:rPr>
          <w:sz w:val="20"/>
        </w:rPr>
        <w:t>n</w:t>
      </w:r>
      <w:r w:rsidRPr="000959A8">
        <w:rPr>
          <w:rFonts w:cstheme="minorHAnsi"/>
          <w:sz w:val="20"/>
          <w:szCs w:val="20"/>
        </w:rPr>
        <w:t>in tarafsızlığına yönelik tehditler diğer kişi ya da kuruluşların faaliyetlerinden kaynaklanıyorsa, bunları düzeltmeye yönelik çalışmalar yapar.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>ATACERT Belgelendirme</w:t>
      </w:r>
      <w:r w:rsidRPr="000959A8">
        <w:rPr>
          <w:rFonts w:cstheme="minorHAnsi"/>
          <w:sz w:val="20"/>
          <w:szCs w:val="20"/>
        </w:rPr>
        <w:t>, muayene hizmetleri faaliyetlerinde bağımsız, tarafsız, dürüstlük ve gizlilik içerisinde davranacağını beyan e</w:t>
      </w:r>
      <w:r>
        <w:rPr>
          <w:rFonts w:cstheme="minorHAnsi"/>
          <w:sz w:val="20"/>
          <w:szCs w:val="20"/>
        </w:rPr>
        <w:t>tmektedir.</w:t>
      </w:r>
    </w:p>
    <w:p w:rsidR="00D25E99" w:rsidRPr="000959A8" w:rsidRDefault="00D25E99" w:rsidP="00D25E99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59A8">
        <w:rPr>
          <w:b/>
          <w:sz w:val="20"/>
        </w:rPr>
        <w:t xml:space="preserve">ATACERT Belgelendirme </w:t>
      </w:r>
      <w:r w:rsidRPr="000959A8">
        <w:rPr>
          <w:rFonts w:cstheme="minorHAnsi"/>
          <w:sz w:val="20"/>
          <w:szCs w:val="20"/>
        </w:rPr>
        <w:t>muayene hizmetleri faaliyetlerinde bir ilişki, tarafsızlık için kabul edilemez bir tehdit oluşturduğunda belgelendirme yapmayacağını taahhüt e</w:t>
      </w:r>
      <w:r>
        <w:rPr>
          <w:rFonts w:cstheme="minorHAnsi"/>
          <w:sz w:val="20"/>
          <w:szCs w:val="20"/>
        </w:rPr>
        <w:t>tmektedir.</w:t>
      </w:r>
    </w:p>
    <w:p w:rsidR="00D25E99" w:rsidRPr="00AC7100" w:rsidRDefault="00D25E99" w:rsidP="00D25E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25E99" w:rsidRPr="00AC7100" w:rsidRDefault="00D25E99" w:rsidP="00D25E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C7100">
        <w:rPr>
          <w:rFonts w:cstheme="minorHAnsi"/>
          <w:sz w:val="20"/>
          <w:szCs w:val="20"/>
        </w:rPr>
        <w:t xml:space="preserve">Muayene hizmetleri sürecinde elde edilecek gizli kalması gereken tüm bilgilerin </w:t>
      </w:r>
      <w:r w:rsidRPr="000E0C83">
        <w:rPr>
          <w:rFonts w:eastAsia="Times New Roman" w:cstheme="minorHAnsi"/>
          <w:color w:val="222222"/>
          <w:sz w:val="20"/>
          <w:szCs w:val="20"/>
        </w:rPr>
        <w:t>ATACERT Global Teknik Kontrol Belgelendirme</w:t>
      </w:r>
      <w:r w:rsidRPr="00AC7100">
        <w:rPr>
          <w:rFonts w:cstheme="minorHAnsi"/>
          <w:sz w:val="20"/>
          <w:szCs w:val="20"/>
        </w:rPr>
        <w:t xml:space="preserve"> deki, teknik personel tarafından gizliliğinin sağlanacağını ve hiçbir suretle</w:t>
      </w:r>
      <w:r>
        <w:rPr>
          <w:rFonts w:cstheme="minorHAnsi"/>
          <w:sz w:val="20"/>
          <w:szCs w:val="20"/>
        </w:rPr>
        <w:t xml:space="preserve"> </w:t>
      </w:r>
      <w:r w:rsidRPr="00AC7100">
        <w:rPr>
          <w:rFonts w:cstheme="minorHAnsi"/>
          <w:sz w:val="20"/>
          <w:szCs w:val="20"/>
        </w:rPr>
        <w:t xml:space="preserve">açıklanmayacağını taahhüt </w:t>
      </w:r>
      <w:r w:rsidRPr="000959A8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tmektedir.</w:t>
      </w:r>
    </w:p>
    <w:p w:rsidR="00D25E99" w:rsidRDefault="00D25E99" w:rsidP="00D25E99">
      <w:p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</w:p>
    <w:p w:rsidR="00D25E99" w:rsidRDefault="00D25E99" w:rsidP="00D25E9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ATACERT Global Teknik Kontrol Belgelendirme</w:t>
      </w:r>
      <w:r w:rsidRPr="00AC7100">
        <w:rPr>
          <w:rFonts w:cstheme="minorHAnsi"/>
          <w:sz w:val="20"/>
          <w:szCs w:val="20"/>
        </w:rPr>
        <w:t xml:space="preserve"> </w:t>
      </w:r>
    </w:p>
    <w:p w:rsidR="00D25E99" w:rsidRPr="000E0C83" w:rsidRDefault="00D25E99" w:rsidP="00D25E9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C7100">
        <w:rPr>
          <w:rFonts w:cstheme="minorHAnsi"/>
          <w:sz w:val="20"/>
          <w:szCs w:val="20"/>
        </w:rPr>
        <w:t>ŞİRKET MÜDÜRÜ</w:t>
      </w:r>
    </w:p>
    <w:p w:rsidR="00D25E99" w:rsidRPr="000E0C83" w:rsidRDefault="00D25E99" w:rsidP="00D25E99">
      <w:pPr>
        <w:jc w:val="both"/>
        <w:rPr>
          <w:rFonts w:eastAsia="Times New Roman" w:cstheme="minorHAnsi"/>
          <w:color w:val="222222"/>
          <w:sz w:val="20"/>
          <w:szCs w:val="20"/>
        </w:rPr>
      </w:pPr>
    </w:p>
    <w:p w:rsidR="00D25E99" w:rsidRPr="003736B6" w:rsidRDefault="00D25E99" w:rsidP="00D25E99"/>
    <w:p w:rsidR="00D25E99" w:rsidRPr="003736B6" w:rsidRDefault="00D25E99" w:rsidP="00D25E99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p w:rsidR="00D25E99" w:rsidRPr="00965D2E" w:rsidRDefault="00D25E99" w:rsidP="00D25E99">
      <w:pPr>
        <w:spacing w:after="0" w:line="240" w:lineRule="auto"/>
        <w:rPr>
          <w:rFonts w:cstheme="minorHAnsi"/>
          <w:sz w:val="20"/>
          <w:szCs w:val="20"/>
        </w:rPr>
      </w:pPr>
    </w:p>
    <w:p w:rsidR="00D25E99" w:rsidRDefault="00D25E99" w:rsidP="00D25E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p w:rsidR="006F0D72" w:rsidRDefault="006F0D72" w:rsidP="006F0D7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sectPr w:rsidR="006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A1A"/>
    <w:multiLevelType w:val="hybridMultilevel"/>
    <w:tmpl w:val="3586BB7A"/>
    <w:lvl w:ilvl="0" w:tplc="BE3A3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8FF"/>
    <w:multiLevelType w:val="hybridMultilevel"/>
    <w:tmpl w:val="6526B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058"/>
    <w:multiLevelType w:val="hybridMultilevel"/>
    <w:tmpl w:val="B630B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E7F"/>
    <w:multiLevelType w:val="hybridMultilevel"/>
    <w:tmpl w:val="B1742A5A"/>
    <w:lvl w:ilvl="0" w:tplc="30F46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156D"/>
    <w:multiLevelType w:val="hybridMultilevel"/>
    <w:tmpl w:val="50204C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D207E"/>
    <w:multiLevelType w:val="hybridMultilevel"/>
    <w:tmpl w:val="8FFAED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30C8"/>
    <w:multiLevelType w:val="hybridMultilevel"/>
    <w:tmpl w:val="9368A5FA"/>
    <w:lvl w:ilvl="0" w:tplc="F9F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2B9A"/>
    <w:multiLevelType w:val="hybridMultilevel"/>
    <w:tmpl w:val="04C08FB8"/>
    <w:lvl w:ilvl="0" w:tplc="09485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035A"/>
    <w:multiLevelType w:val="hybridMultilevel"/>
    <w:tmpl w:val="B5BA4756"/>
    <w:lvl w:ilvl="0" w:tplc="2D488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4087B"/>
    <w:multiLevelType w:val="hybridMultilevel"/>
    <w:tmpl w:val="1B90B3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B2D62"/>
    <w:multiLevelType w:val="hybridMultilevel"/>
    <w:tmpl w:val="B1742A5A"/>
    <w:lvl w:ilvl="0" w:tplc="30F46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368"/>
    <w:multiLevelType w:val="hybridMultilevel"/>
    <w:tmpl w:val="DA9896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7095"/>
    <w:multiLevelType w:val="hybridMultilevel"/>
    <w:tmpl w:val="9A06557C"/>
    <w:lvl w:ilvl="0" w:tplc="D6564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30C0"/>
    <w:multiLevelType w:val="hybridMultilevel"/>
    <w:tmpl w:val="4382229E"/>
    <w:lvl w:ilvl="0" w:tplc="5B8EB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6152C"/>
    <w:multiLevelType w:val="hybridMultilevel"/>
    <w:tmpl w:val="92AEA910"/>
    <w:lvl w:ilvl="0" w:tplc="61464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53EB"/>
    <w:multiLevelType w:val="hybridMultilevel"/>
    <w:tmpl w:val="0E6498F8"/>
    <w:lvl w:ilvl="0" w:tplc="CDFCD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3D1F"/>
    <w:multiLevelType w:val="hybridMultilevel"/>
    <w:tmpl w:val="ED3479AC"/>
    <w:lvl w:ilvl="0" w:tplc="5E6E3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B294A"/>
    <w:multiLevelType w:val="hybridMultilevel"/>
    <w:tmpl w:val="99FE0F50"/>
    <w:lvl w:ilvl="0" w:tplc="ED10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B1C86"/>
    <w:multiLevelType w:val="hybridMultilevel"/>
    <w:tmpl w:val="459ABC58"/>
    <w:lvl w:ilvl="0" w:tplc="19E83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  <w:num w:numId="12">
    <w:abstractNumId w:val="6"/>
  </w:num>
  <w:num w:numId="13">
    <w:abstractNumId w:val="18"/>
  </w:num>
  <w:num w:numId="14">
    <w:abstractNumId w:val="13"/>
  </w:num>
  <w:num w:numId="15">
    <w:abstractNumId w:val="16"/>
  </w:num>
  <w:num w:numId="16">
    <w:abstractNumId w:val="1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0"/>
    <w:rsid w:val="000101BB"/>
    <w:rsid w:val="00034B33"/>
    <w:rsid w:val="00046CF2"/>
    <w:rsid w:val="000737BC"/>
    <w:rsid w:val="000959A8"/>
    <w:rsid w:val="000C06DC"/>
    <w:rsid w:val="000E0C83"/>
    <w:rsid w:val="000E1EEF"/>
    <w:rsid w:val="000F4C8C"/>
    <w:rsid w:val="0012082D"/>
    <w:rsid w:val="001435A3"/>
    <w:rsid w:val="00180742"/>
    <w:rsid w:val="00186D66"/>
    <w:rsid w:val="001A688F"/>
    <w:rsid w:val="001E7A61"/>
    <w:rsid w:val="001F31CE"/>
    <w:rsid w:val="00202C78"/>
    <w:rsid w:val="002048BB"/>
    <w:rsid w:val="002261AE"/>
    <w:rsid w:val="002631F6"/>
    <w:rsid w:val="0028065E"/>
    <w:rsid w:val="002948C9"/>
    <w:rsid w:val="00297125"/>
    <w:rsid w:val="002D611D"/>
    <w:rsid w:val="002F2BC0"/>
    <w:rsid w:val="00332A45"/>
    <w:rsid w:val="0034081A"/>
    <w:rsid w:val="00362B20"/>
    <w:rsid w:val="0037300E"/>
    <w:rsid w:val="003736B6"/>
    <w:rsid w:val="003A375D"/>
    <w:rsid w:val="003D4D42"/>
    <w:rsid w:val="003E2F90"/>
    <w:rsid w:val="004127B7"/>
    <w:rsid w:val="00425106"/>
    <w:rsid w:val="004575FB"/>
    <w:rsid w:val="004635CF"/>
    <w:rsid w:val="00463EBA"/>
    <w:rsid w:val="004925C5"/>
    <w:rsid w:val="004A15B4"/>
    <w:rsid w:val="004B24CD"/>
    <w:rsid w:val="004C34C7"/>
    <w:rsid w:val="004D3399"/>
    <w:rsid w:val="004E2AC6"/>
    <w:rsid w:val="00503D63"/>
    <w:rsid w:val="00510E46"/>
    <w:rsid w:val="00541C80"/>
    <w:rsid w:val="0057575C"/>
    <w:rsid w:val="005757E6"/>
    <w:rsid w:val="005909B7"/>
    <w:rsid w:val="005C0597"/>
    <w:rsid w:val="005F72C7"/>
    <w:rsid w:val="006157B0"/>
    <w:rsid w:val="006A63E1"/>
    <w:rsid w:val="006C1F66"/>
    <w:rsid w:val="006E2FE1"/>
    <w:rsid w:val="006F0D72"/>
    <w:rsid w:val="007409C2"/>
    <w:rsid w:val="00772387"/>
    <w:rsid w:val="00776B9E"/>
    <w:rsid w:val="0079300D"/>
    <w:rsid w:val="007A05EC"/>
    <w:rsid w:val="007D155D"/>
    <w:rsid w:val="00807CC1"/>
    <w:rsid w:val="0085242B"/>
    <w:rsid w:val="0088511C"/>
    <w:rsid w:val="008C084B"/>
    <w:rsid w:val="008D1306"/>
    <w:rsid w:val="008E2511"/>
    <w:rsid w:val="009015C3"/>
    <w:rsid w:val="00905AC9"/>
    <w:rsid w:val="009150CC"/>
    <w:rsid w:val="00917580"/>
    <w:rsid w:val="00927FF0"/>
    <w:rsid w:val="00962F6D"/>
    <w:rsid w:val="00965D2E"/>
    <w:rsid w:val="009C29EF"/>
    <w:rsid w:val="00A0739E"/>
    <w:rsid w:val="00A54DCB"/>
    <w:rsid w:val="00AC7100"/>
    <w:rsid w:val="00AE4924"/>
    <w:rsid w:val="00AE4973"/>
    <w:rsid w:val="00AE4D3D"/>
    <w:rsid w:val="00B46CE1"/>
    <w:rsid w:val="00B645FB"/>
    <w:rsid w:val="00B64775"/>
    <w:rsid w:val="00BB5849"/>
    <w:rsid w:val="00BC1318"/>
    <w:rsid w:val="00BC78CF"/>
    <w:rsid w:val="00BD0823"/>
    <w:rsid w:val="00C17646"/>
    <w:rsid w:val="00C7626A"/>
    <w:rsid w:val="00CA1B9E"/>
    <w:rsid w:val="00CB3EF7"/>
    <w:rsid w:val="00CB4B2D"/>
    <w:rsid w:val="00CB5BA7"/>
    <w:rsid w:val="00CC434D"/>
    <w:rsid w:val="00D22173"/>
    <w:rsid w:val="00D25E99"/>
    <w:rsid w:val="00D3438A"/>
    <w:rsid w:val="00D60DDA"/>
    <w:rsid w:val="00D9423E"/>
    <w:rsid w:val="00DB598D"/>
    <w:rsid w:val="00DD2C66"/>
    <w:rsid w:val="00E11E95"/>
    <w:rsid w:val="00E13178"/>
    <w:rsid w:val="00E34C64"/>
    <w:rsid w:val="00E70548"/>
    <w:rsid w:val="00E9398F"/>
    <w:rsid w:val="00F20417"/>
    <w:rsid w:val="00F53E29"/>
    <w:rsid w:val="00F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CBCA-A3F5-465F-AE51-C89FFF8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8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C0597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D2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73E6-AFD2-4A09-9E2F-AA9D8CFC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Romancı's</dc:creator>
  <cp:keywords/>
  <dc:description/>
  <cp:lastModifiedBy>Romancı's</cp:lastModifiedBy>
  <cp:revision>3</cp:revision>
  <dcterms:created xsi:type="dcterms:W3CDTF">2019-08-21T16:29:00Z</dcterms:created>
  <dcterms:modified xsi:type="dcterms:W3CDTF">2019-08-22T07:12:00Z</dcterms:modified>
</cp:coreProperties>
</file>