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72" w:rsidRDefault="006F0D72" w:rsidP="006F0D7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bookmarkStart w:id="0" w:name="_GoBack"/>
      <w:r w:rsidRPr="000E0C83">
        <w:rPr>
          <w:rFonts w:eastAsia="Times New Roman" w:cstheme="minorHAnsi"/>
          <w:b/>
          <w:color w:val="222222"/>
          <w:sz w:val="20"/>
          <w:szCs w:val="20"/>
        </w:rPr>
        <w:t>MUAYENE VE ÜRÜN UYGUNLUK DEĞERLENDIRME DEPARTMANI İTIRAZ PROSEDÜRÜ</w:t>
      </w:r>
    </w:p>
    <w:p w:rsidR="006F0D72" w:rsidRPr="000E0C83" w:rsidRDefault="006F0D72" w:rsidP="006F0D7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</w:p>
    <w:p w:rsidR="006F0D72" w:rsidRDefault="006F0D72" w:rsidP="006F0D72">
      <w:pPr>
        <w:spacing w:after="0" w:line="240" w:lineRule="auto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1. AMAÇ</w:t>
      </w:r>
    </w:p>
    <w:p w:rsidR="006F0D72" w:rsidRDefault="006F0D72" w:rsidP="006F0D72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Bu </w:t>
      </w:r>
      <w:proofErr w:type="gramStart"/>
      <w:r>
        <w:rPr>
          <w:sz w:val="20"/>
        </w:rPr>
        <w:t>prosedürün</w:t>
      </w:r>
      <w:proofErr w:type="gramEnd"/>
      <w:r>
        <w:rPr>
          <w:sz w:val="20"/>
        </w:rPr>
        <w:t xml:space="preserve"> amacı, </w:t>
      </w:r>
      <w:r w:rsidRPr="001435A3">
        <w:rPr>
          <w:sz w:val="20"/>
        </w:rPr>
        <w:t>Muayene Ve Ürün Uygunluk Değerlendirme Departmanı</w:t>
      </w:r>
      <w:r>
        <w:rPr>
          <w:sz w:val="20"/>
        </w:rPr>
        <w:t xml:space="preserve"> hakkındaki</w:t>
      </w:r>
      <w:r w:rsidRPr="001435A3">
        <w:rPr>
          <w:sz w:val="20"/>
        </w:rPr>
        <w:t xml:space="preserve"> </w:t>
      </w:r>
      <w:r>
        <w:rPr>
          <w:sz w:val="20"/>
        </w:rPr>
        <w:t xml:space="preserve">itirazların alınması, </w:t>
      </w:r>
      <w:r w:rsidRPr="001435A3">
        <w:rPr>
          <w:sz w:val="20"/>
        </w:rPr>
        <w:t>değerlendirilmesi ve karar verilmesi için uygulanacak yöntem ve sorumlulukların belirlenmesidir.</w:t>
      </w:r>
    </w:p>
    <w:p w:rsidR="006F0D72" w:rsidRPr="004575FB" w:rsidRDefault="006F0D72" w:rsidP="006F0D72">
      <w:pPr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:rsidR="006F0D72" w:rsidRDefault="006F0D72" w:rsidP="006F0D72">
      <w:pPr>
        <w:spacing w:after="0" w:line="240" w:lineRule="auto"/>
        <w:rPr>
          <w:rFonts w:cstheme="minorHAnsi"/>
          <w:b/>
          <w:sz w:val="20"/>
          <w:szCs w:val="20"/>
        </w:rPr>
      </w:pPr>
      <w:r w:rsidRPr="000E0C83">
        <w:rPr>
          <w:rFonts w:cstheme="minorHAnsi"/>
          <w:b/>
          <w:sz w:val="20"/>
          <w:szCs w:val="20"/>
        </w:rPr>
        <w:t>2. KAPSAM</w:t>
      </w:r>
    </w:p>
    <w:p w:rsidR="006F0D72" w:rsidRDefault="006F0D72" w:rsidP="006F0D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41C80">
        <w:rPr>
          <w:b/>
          <w:sz w:val="20"/>
        </w:rPr>
        <w:t>ATACERT Belgelendirme</w:t>
      </w:r>
      <w:r>
        <w:rPr>
          <w:sz w:val="20"/>
        </w:rPr>
        <w:t xml:space="preserve">nin, </w:t>
      </w:r>
      <w:r w:rsidRPr="001435A3">
        <w:rPr>
          <w:sz w:val="20"/>
        </w:rPr>
        <w:t>Muayene Ve Ürün Uygunluk Değerlendirme Departmanı</w:t>
      </w:r>
      <w:r>
        <w:rPr>
          <w:sz w:val="20"/>
        </w:rPr>
        <w:t xml:space="preserve">’nın </w:t>
      </w:r>
      <w:r w:rsidRPr="00541C80">
        <w:rPr>
          <w:rFonts w:cstheme="minorHAnsi"/>
          <w:sz w:val="20"/>
          <w:szCs w:val="20"/>
        </w:rPr>
        <w:t xml:space="preserve">ürün belgelendirme, muayene ve gözetim hizmetleri </w:t>
      </w:r>
      <w:r>
        <w:rPr>
          <w:rFonts w:cstheme="minorHAnsi"/>
          <w:sz w:val="20"/>
          <w:szCs w:val="20"/>
        </w:rPr>
        <w:t>gibi</w:t>
      </w:r>
      <w:r>
        <w:rPr>
          <w:sz w:val="20"/>
        </w:rPr>
        <w:t xml:space="preserve"> </w:t>
      </w:r>
      <w:r w:rsidRPr="00541C80">
        <w:rPr>
          <w:rFonts w:cstheme="minorHAnsi"/>
          <w:sz w:val="20"/>
          <w:szCs w:val="20"/>
        </w:rPr>
        <w:t>yürütmekte</w:t>
      </w:r>
      <w:r>
        <w:rPr>
          <w:rFonts w:cstheme="minorHAnsi"/>
          <w:sz w:val="20"/>
          <w:szCs w:val="20"/>
        </w:rPr>
        <w:t xml:space="preserve"> olduğu faaliyetlerinde</w:t>
      </w:r>
      <w:r w:rsidRPr="00541C80">
        <w:rPr>
          <w:rFonts w:cstheme="minorHAnsi"/>
          <w:sz w:val="20"/>
          <w:szCs w:val="20"/>
        </w:rPr>
        <w:t xml:space="preserve"> gele</w:t>
      </w:r>
      <w:r>
        <w:rPr>
          <w:rFonts w:cstheme="minorHAnsi"/>
          <w:sz w:val="20"/>
          <w:szCs w:val="20"/>
        </w:rPr>
        <w:t>bile</w:t>
      </w:r>
      <w:r w:rsidRPr="00541C80">
        <w:rPr>
          <w:rFonts w:cstheme="minorHAnsi"/>
          <w:sz w:val="20"/>
          <w:szCs w:val="20"/>
        </w:rPr>
        <w:t xml:space="preserve">cek tüm </w:t>
      </w:r>
      <w:r>
        <w:rPr>
          <w:rFonts w:cstheme="minorHAnsi"/>
          <w:sz w:val="20"/>
          <w:szCs w:val="20"/>
        </w:rPr>
        <w:t xml:space="preserve">itirazları </w:t>
      </w:r>
      <w:r w:rsidRPr="00541C80">
        <w:rPr>
          <w:rFonts w:cstheme="minorHAnsi"/>
          <w:sz w:val="20"/>
          <w:szCs w:val="20"/>
        </w:rPr>
        <w:t>kapsar.</w:t>
      </w:r>
    </w:p>
    <w:p w:rsidR="006F0D72" w:rsidRPr="004575FB" w:rsidRDefault="006F0D72" w:rsidP="006F0D72">
      <w:pPr>
        <w:spacing w:after="0" w:line="240" w:lineRule="auto"/>
        <w:rPr>
          <w:rFonts w:cstheme="minorHAnsi"/>
          <w:sz w:val="20"/>
          <w:szCs w:val="20"/>
        </w:rPr>
      </w:pPr>
    </w:p>
    <w:p w:rsidR="006F0D72" w:rsidRDefault="006F0D72" w:rsidP="006F0D72">
      <w:pPr>
        <w:spacing w:after="0" w:line="240" w:lineRule="auto"/>
        <w:rPr>
          <w:rFonts w:cstheme="minorHAnsi"/>
          <w:b/>
          <w:sz w:val="20"/>
          <w:szCs w:val="20"/>
        </w:rPr>
      </w:pPr>
      <w:r w:rsidRPr="002261AE">
        <w:rPr>
          <w:rFonts w:cstheme="minorHAnsi"/>
          <w:b/>
          <w:sz w:val="20"/>
          <w:szCs w:val="20"/>
        </w:rPr>
        <w:t>3. İLGİLİ DOKÜMANLAR ve REFERANSLAR</w:t>
      </w:r>
    </w:p>
    <w:p w:rsidR="006F0D72" w:rsidRPr="002948C9" w:rsidRDefault="006F0D72" w:rsidP="006F0D72">
      <w:pPr>
        <w:spacing w:after="0" w:line="240" w:lineRule="auto"/>
        <w:rPr>
          <w:rFonts w:cstheme="minorHAnsi"/>
          <w:b/>
          <w:sz w:val="20"/>
          <w:szCs w:val="20"/>
        </w:rPr>
      </w:pPr>
      <w:r w:rsidRPr="002948C9">
        <w:rPr>
          <w:rFonts w:cstheme="minorHAnsi"/>
          <w:b/>
          <w:sz w:val="20"/>
          <w:szCs w:val="20"/>
        </w:rPr>
        <w:t>TS EN ISO/IEC 17025</w:t>
      </w:r>
      <w:r>
        <w:rPr>
          <w:rFonts w:cstheme="minorHAnsi"/>
          <w:b/>
          <w:sz w:val="20"/>
          <w:szCs w:val="20"/>
        </w:rPr>
        <w:tab/>
      </w:r>
      <w:r w:rsidRPr="002948C9">
        <w:rPr>
          <w:rFonts w:cstheme="minorHAnsi"/>
          <w:sz w:val="20"/>
          <w:szCs w:val="20"/>
        </w:rPr>
        <w:t>Deney ve Kalibrasyon Laboratuvarlarının Yeterliliği İçin Genel Şartlar</w:t>
      </w:r>
    </w:p>
    <w:p w:rsidR="006F0D72" w:rsidRPr="002948C9" w:rsidRDefault="006F0D72" w:rsidP="006F0D72">
      <w:pPr>
        <w:spacing w:after="0" w:line="240" w:lineRule="auto"/>
        <w:rPr>
          <w:rFonts w:cstheme="minorHAnsi"/>
          <w:sz w:val="20"/>
          <w:szCs w:val="20"/>
        </w:rPr>
      </w:pPr>
      <w:r w:rsidRPr="002948C9">
        <w:rPr>
          <w:rFonts w:cstheme="minorHAnsi"/>
          <w:b/>
          <w:sz w:val="20"/>
          <w:szCs w:val="20"/>
        </w:rPr>
        <w:t xml:space="preserve">TS EN ISO/IEC 17020 </w:t>
      </w:r>
      <w:r>
        <w:rPr>
          <w:rFonts w:cstheme="minorHAnsi"/>
          <w:b/>
          <w:sz w:val="20"/>
          <w:szCs w:val="20"/>
        </w:rPr>
        <w:tab/>
      </w:r>
      <w:r w:rsidRPr="002948C9">
        <w:rPr>
          <w:rFonts w:cstheme="minorHAnsi"/>
          <w:sz w:val="20"/>
          <w:szCs w:val="20"/>
        </w:rPr>
        <w:t>Uygunluk Değerlendirmesi Çeşitli Tiplerdeki Muayene Kuruluşlarının İşletimi</w:t>
      </w:r>
    </w:p>
    <w:p w:rsidR="006F0D72" w:rsidRPr="002948C9" w:rsidRDefault="006F0D72" w:rsidP="006F0D72">
      <w:pPr>
        <w:spacing w:after="0" w:line="240" w:lineRule="auto"/>
        <w:ind w:left="2124"/>
        <w:rPr>
          <w:rFonts w:cstheme="minorHAnsi"/>
          <w:sz w:val="20"/>
          <w:szCs w:val="20"/>
        </w:rPr>
      </w:pPr>
      <w:r w:rsidRPr="002948C9">
        <w:rPr>
          <w:rFonts w:cstheme="minorHAnsi"/>
          <w:sz w:val="20"/>
          <w:szCs w:val="20"/>
        </w:rPr>
        <w:t>İçin Şartlar</w:t>
      </w:r>
    </w:p>
    <w:p w:rsidR="006F0D72" w:rsidRPr="002948C9" w:rsidRDefault="006F0D72" w:rsidP="006F0D72">
      <w:pPr>
        <w:spacing w:after="0" w:line="240" w:lineRule="auto"/>
        <w:rPr>
          <w:rFonts w:cstheme="minorHAnsi"/>
          <w:sz w:val="20"/>
          <w:szCs w:val="20"/>
        </w:rPr>
      </w:pPr>
      <w:r w:rsidRPr="002948C9">
        <w:rPr>
          <w:rFonts w:cstheme="minorHAnsi"/>
          <w:b/>
          <w:sz w:val="20"/>
          <w:szCs w:val="20"/>
        </w:rPr>
        <w:t xml:space="preserve">TS EN ISO/IEC 17021-1 </w:t>
      </w:r>
      <w:r>
        <w:rPr>
          <w:rFonts w:cstheme="minorHAnsi"/>
          <w:b/>
          <w:sz w:val="20"/>
          <w:szCs w:val="20"/>
        </w:rPr>
        <w:tab/>
      </w:r>
      <w:r w:rsidRPr="002948C9">
        <w:rPr>
          <w:rFonts w:cstheme="minorHAnsi"/>
          <w:sz w:val="20"/>
          <w:szCs w:val="20"/>
        </w:rPr>
        <w:t>Uygunluk Değerlendirmesi Yönetim Sistemlerinin Tetkikinin Ve</w:t>
      </w:r>
    </w:p>
    <w:p w:rsidR="006F0D72" w:rsidRPr="002948C9" w:rsidRDefault="006F0D72" w:rsidP="006F0D72">
      <w:pPr>
        <w:spacing w:after="0" w:line="240" w:lineRule="auto"/>
        <w:ind w:left="2124"/>
        <w:rPr>
          <w:rFonts w:cstheme="minorHAnsi"/>
          <w:sz w:val="20"/>
          <w:szCs w:val="20"/>
        </w:rPr>
      </w:pPr>
      <w:r w:rsidRPr="002948C9">
        <w:rPr>
          <w:rFonts w:cstheme="minorHAnsi"/>
          <w:sz w:val="20"/>
          <w:szCs w:val="20"/>
        </w:rPr>
        <w:t>Belgelendirmesini Sağlayan Kuruluşlar İçin Şartlar</w:t>
      </w:r>
    </w:p>
    <w:p w:rsidR="006F0D72" w:rsidRPr="002948C9" w:rsidRDefault="006F0D72" w:rsidP="006F0D72">
      <w:pPr>
        <w:spacing w:after="0" w:line="240" w:lineRule="auto"/>
        <w:rPr>
          <w:rFonts w:cstheme="minorHAnsi"/>
          <w:sz w:val="20"/>
          <w:szCs w:val="20"/>
        </w:rPr>
      </w:pPr>
      <w:r w:rsidRPr="002948C9">
        <w:rPr>
          <w:rFonts w:cstheme="minorHAnsi"/>
          <w:b/>
          <w:sz w:val="20"/>
          <w:szCs w:val="20"/>
        </w:rPr>
        <w:t xml:space="preserve">TS EN ISO/IEC 17065 </w:t>
      </w:r>
      <w:r>
        <w:rPr>
          <w:rFonts w:cstheme="minorHAnsi"/>
          <w:b/>
          <w:sz w:val="20"/>
          <w:szCs w:val="20"/>
        </w:rPr>
        <w:tab/>
      </w:r>
      <w:r w:rsidRPr="002948C9">
        <w:rPr>
          <w:rFonts w:cstheme="minorHAnsi"/>
          <w:sz w:val="20"/>
          <w:szCs w:val="20"/>
        </w:rPr>
        <w:t>Uygunluk Değerlendirmesi - Ürün, Proses Ve Hizmet Belgelendirmesi Yapan</w:t>
      </w:r>
    </w:p>
    <w:p w:rsidR="006F0D72" w:rsidRPr="002948C9" w:rsidRDefault="006F0D72" w:rsidP="006F0D72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 w:rsidRPr="002948C9">
        <w:rPr>
          <w:rFonts w:cstheme="minorHAnsi"/>
          <w:sz w:val="20"/>
          <w:szCs w:val="20"/>
        </w:rPr>
        <w:t>Kuruluşlar İçin Şartlar</w:t>
      </w:r>
    </w:p>
    <w:p w:rsidR="006F0D72" w:rsidRPr="002948C9" w:rsidRDefault="006F0D72" w:rsidP="006F0D72">
      <w:pPr>
        <w:spacing w:after="0" w:line="240" w:lineRule="auto"/>
        <w:rPr>
          <w:rFonts w:cstheme="minorHAnsi"/>
          <w:sz w:val="20"/>
          <w:szCs w:val="20"/>
        </w:rPr>
      </w:pPr>
      <w:r w:rsidRPr="002948C9">
        <w:rPr>
          <w:rFonts w:cstheme="minorHAnsi"/>
          <w:b/>
          <w:sz w:val="20"/>
          <w:szCs w:val="20"/>
        </w:rPr>
        <w:t xml:space="preserve">TS ISO/IEC 27006 </w:t>
      </w:r>
      <w:r>
        <w:rPr>
          <w:rFonts w:cstheme="minorHAnsi"/>
          <w:b/>
          <w:sz w:val="20"/>
          <w:szCs w:val="20"/>
        </w:rPr>
        <w:tab/>
      </w:r>
      <w:r w:rsidRPr="002948C9">
        <w:rPr>
          <w:rFonts w:cstheme="minorHAnsi"/>
          <w:sz w:val="20"/>
          <w:szCs w:val="20"/>
        </w:rPr>
        <w:t>Bilgi teknolojisi - Güvenlik teknikleri - Bilgi güvenliği yönetim sistemi tetkik ve</w:t>
      </w:r>
    </w:p>
    <w:p w:rsidR="006F0D72" w:rsidRPr="002948C9" w:rsidRDefault="006F0D72" w:rsidP="006F0D72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 w:rsidRPr="002948C9">
        <w:rPr>
          <w:rFonts w:cstheme="minorHAnsi"/>
          <w:sz w:val="20"/>
          <w:szCs w:val="20"/>
        </w:rPr>
        <w:t>Belgelendirmesini yapan kuruluşlar için gereklilikler</w:t>
      </w:r>
    </w:p>
    <w:p w:rsidR="006F0D72" w:rsidRPr="002948C9" w:rsidRDefault="006F0D72" w:rsidP="006F0D72">
      <w:pPr>
        <w:spacing w:after="0" w:line="240" w:lineRule="auto"/>
        <w:rPr>
          <w:rFonts w:cstheme="minorHAnsi"/>
          <w:sz w:val="20"/>
          <w:szCs w:val="20"/>
        </w:rPr>
      </w:pPr>
      <w:r w:rsidRPr="002948C9">
        <w:rPr>
          <w:rFonts w:cstheme="minorHAnsi"/>
          <w:b/>
          <w:sz w:val="20"/>
          <w:szCs w:val="20"/>
        </w:rPr>
        <w:t xml:space="preserve">TSE ISO/TS 22003 </w:t>
      </w:r>
      <w:r>
        <w:rPr>
          <w:rFonts w:cstheme="minorHAnsi"/>
          <w:b/>
          <w:sz w:val="20"/>
          <w:szCs w:val="20"/>
        </w:rPr>
        <w:tab/>
      </w:r>
      <w:r w:rsidRPr="002948C9">
        <w:rPr>
          <w:rFonts w:cstheme="minorHAnsi"/>
          <w:sz w:val="20"/>
          <w:szCs w:val="20"/>
        </w:rPr>
        <w:t>Gıda güvenliği yönetim sistemleri – Gıda güvenliği yönetim sistemlerinin tetkikini</w:t>
      </w:r>
    </w:p>
    <w:p w:rsidR="006F0D72" w:rsidRPr="002948C9" w:rsidRDefault="006F0D72" w:rsidP="006F0D72">
      <w:pPr>
        <w:spacing w:after="0" w:line="240" w:lineRule="auto"/>
        <w:ind w:left="1416" w:firstLine="708"/>
        <w:rPr>
          <w:rFonts w:cstheme="minorHAnsi"/>
          <w:sz w:val="20"/>
          <w:szCs w:val="20"/>
        </w:rPr>
      </w:pPr>
      <w:r w:rsidRPr="002948C9">
        <w:rPr>
          <w:rFonts w:cstheme="minorHAnsi"/>
          <w:sz w:val="20"/>
          <w:szCs w:val="20"/>
        </w:rPr>
        <w:t>Ve belgelendirmesini sağlayan kuruluşlar için şartlar</w:t>
      </w:r>
    </w:p>
    <w:p w:rsidR="006F0D72" w:rsidRDefault="006F0D72" w:rsidP="006F0D72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İLGİLİ FORM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sz w:val="20"/>
          <w:szCs w:val="20"/>
        </w:rPr>
        <w:t>Muayene ve Ürün Uygunlu Değerlendirme Departmanı İtiraz Formu</w:t>
      </w:r>
    </w:p>
    <w:p w:rsidR="006F0D72" w:rsidRDefault="006F0D72" w:rsidP="006F0D7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F0D72" w:rsidRPr="0037300E" w:rsidRDefault="006F0D72" w:rsidP="006F0D72">
      <w:pPr>
        <w:spacing w:after="0" w:line="240" w:lineRule="auto"/>
        <w:rPr>
          <w:rFonts w:cstheme="minorHAnsi"/>
          <w:b/>
          <w:sz w:val="20"/>
          <w:szCs w:val="20"/>
        </w:rPr>
      </w:pPr>
      <w:r w:rsidRPr="0037300E">
        <w:rPr>
          <w:rFonts w:cstheme="minorHAnsi"/>
          <w:b/>
          <w:sz w:val="20"/>
          <w:szCs w:val="20"/>
        </w:rPr>
        <w:t>4.</w:t>
      </w:r>
      <w:r>
        <w:rPr>
          <w:rFonts w:cstheme="minorHAnsi"/>
          <w:b/>
          <w:sz w:val="20"/>
          <w:szCs w:val="20"/>
        </w:rPr>
        <w:t xml:space="preserve"> SORUMLULUKLAR</w:t>
      </w:r>
    </w:p>
    <w:p w:rsidR="006F0D72" w:rsidRDefault="006F0D72" w:rsidP="006F0D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C34C7">
        <w:rPr>
          <w:rFonts w:cstheme="minorHAnsi"/>
          <w:sz w:val="20"/>
          <w:szCs w:val="20"/>
        </w:rPr>
        <w:t xml:space="preserve">Bu </w:t>
      </w:r>
      <w:proofErr w:type="gramStart"/>
      <w:r w:rsidRPr="004C34C7">
        <w:rPr>
          <w:rFonts w:cstheme="minorHAnsi"/>
          <w:sz w:val="20"/>
          <w:szCs w:val="20"/>
        </w:rPr>
        <w:t>prosedürün</w:t>
      </w:r>
      <w:proofErr w:type="gramEnd"/>
      <w:r w:rsidRPr="004C34C7">
        <w:rPr>
          <w:rFonts w:cstheme="minorHAnsi"/>
          <w:sz w:val="20"/>
          <w:szCs w:val="20"/>
        </w:rPr>
        <w:t xml:space="preserve"> uygulanmasından 17020 Kalite Yönetim Temsilcileri ve </w:t>
      </w:r>
      <w:r>
        <w:rPr>
          <w:sz w:val="20"/>
        </w:rPr>
        <w:t xml:space="preserve">Muayene Ve Ürün Uygunluk </w:t>
      </w:r>
      <w:r w:rsidRPr="001435A3">
        <w:rPr>
          <w:sz w:val="20"/>
        </w:rPr>
        <w:t>Değerlendirme Departmanı</w:t>
      </w:r>
      <w:r>
        <w:rPr>
          <w:rFonts w:cstheme="minorHAnsi"/>
          <w:sz w:val="20"/>
          <w:szCs w:val="20"/>
        </w:rPr>
        <w:t xml:space="preserve"> yöneticisi </w:t>
      </w:r>
      <w:r w:rsidRPr="004C34C7">
        <w:rPr>
          <w:rFonts w:cstheme="minorHAnsi"/>
          <w:sz w:val="20"/>
          <w:szCs w:val="20"/>
        </w:rPr>
        <w:t>sorumludur.</w:t>
      </w:r>
    </w:p>
    <w:p w:rsidR="006F0D72" w:rsidRPr="004575FB" w:rsidRDefault="006F0D72" w:rsidP="006F0D72">
      <w:pPr>
        <w:spacing w:after="0" w:line="240" w:lineRule="auto"/>
        <w:rPr>
          <w:rFonts w:cstheme="minorHAnsi"/>
          <w:sz w:val="20"/>
          <w:szCs w:val="20"/>
        </w:rPr>
      </w:pPr>
    </w:p>
    <w:p w:rsidR="006F0D72" w:rsidRPr="004575FB" w:rsidRDefault="006F0D72" w:rsidP="006F0D7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</w:t>
      </w:r>
      <w:r w:rsidRPr="004575FB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TANIMLAR</w:t>
      </w:r>
    </w:p>
    <w:p w:rsidR="006F0D72" w:rsidRDefault="006F0D72" w:rsidP="006F0D72">
      <w:pPr>
        <w:spacing w:after="0" w:line="240" w:lineRule="auto"/>
        <w:jc w:val="both"/>
        <w:rPr>
          <w:sz w:val="20"/>
          <w:szCs w:val="20"/>
        </w:rPr>
      </w:pPr>
      <w:r w:rsidRPr="008E2511">
        <w:rPr>
          <w:b/>
          <w:sz w:val="20"/>
          <w:szCs w:val="20"/>
        </w:rPr>
        <w:t>İtiraz:</w:t>
      </w:r>
      <w:r w:rsidRPr="008E2511">
        <w:rPr>
          <w:sz w:val="20"/>
          <w:szCs w:val="20"/>
        </w:rPr>
        <w:t xml:space="preserve"> </w:t>
      </w:r>
      <w:r w:rsidRPr="008E2511">
        <w:rPr>
          <w:b/>
          <w:sz w:val="20"/>
        </w:rPr>
        <w:t>ATACERT</w:t>
      </w:r>
      <w:r w:rsidRPr="00541C80">
        <w:rPr>
          <w:b/>
          <w:sz w:val="20"/>
        </w:rPr>
        <w:t xml:space="preserve"> Belgelendirme</w:t>
      </w:r>
      <w:r>
        <w:rPr>
          <w:sz w:val="20"/>
        </w:rPr>
        <w:t xml:space="preserve"> </w:t>
      </w:r>
      <w:r w:rsidRPr="008E2511">
        <w:rPr>
          <w:sz w:val="20"/>
          <w:szCs w:val="20"/>
        </w:rPr>
        <w:t>tarafından herhangi bir kişi/kurum veya kuruluş hakkında almış olduğu bir kararın, kabul edilmeme</w:t>
      </w:r>
      <w:r>
        <w:rPr>
          <w:sz w:val="20"/>
          <w:szCs w:val="20"/>
        </w:rPr>
        <w:t>si</w:t>
      </w:r>
      <w:r w:rsidRPr="008E2511">
        <w:rPr>
          <w:sz w:val="20"/>
          <w:szCs w:val="20"/>
        </w:rPr>
        <w:t xml:space="preserve"> durumudur.</w:t>
      </w:r>
    </w:p>
    <w:p w:rsidR="006F0D72" w:rsidRPr="008E2511" w:rsidRDefault="006F0D72" w:rsidP="006F0D72">
      <w:pPr>
        <w:spacing w:after="0" w:line="240" w:lineRule="auto"/>
        <w:jc w:val="both"/>
        <w:rPr>
          <w:sz w:val="20"/>
          <w:szCs w:val="20"/>
        </w:rPr>
      </w:pPr>
    </w:p>
    <w:p w:rsidR="006F0D72" w:rsidRDefault="006F0D72" w:rsidP="006F0D7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6. </w:t>
      </w:r>
      <w:r w:rsidRPr="004575FB">
        <w:rPr>
          <w:rFonts w:cstheme="minorHAnsi"/>
          <w:b/>
          <w:sz w:val="20"/>
          <w:szCs w:val="20"/>
        </w:rPr>
        <w:t>PROSEDÜR</w:t>
      </w:r>
    </w:p>
    <w:p w:rsidR="006F0D72" w:rsidRDefault="006F0D72" w:rsidP="006F0D7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İtirazlar</w:t>
      </w:r>
      <w:r w:rsidRPr="00A0739E">
        <w:rPr>
          <w:rFonts w:cstheme="minorHAnsi"/>
          <w:sz w:val="20"/>
          <w:szCs w:val="20"/>
        </w:rPr>
        <w:t xml:space="preserve">; </w:t>
      </w:r>
      <w:r w:rsidRPr="00034B33">
        <w:rPr>
          <w:rFonts w:cstheme="minorHAnsi"/>
          <w:b/>
          <w:sz w:val="20"/>
          <w:szCs w:val="20"/>
        </w:rPr>
        <w:t>info@atacert.com</w:t>
      </w:r>
      <w:r w:rsidRPr="00A0739E">
        <w:rPr>
          <w:rFonts w:cstheme="minorHAnsi"/>
          <w:sz w:val="20"/>
          <w:szCs w:val="20"/>
        </w:rPr>
        <w:t xml:space="preserve"> adresine mail ile </w:t>
      </w:r>
      <w:r w:rsidRPr="00034B33">
        <w:rPr>
          <w:rFonts w:cstheme="minorHAnsi"/>
          <w:b/>
          <w:sz w:val="20"/>
          <w:szCs w:val="20"/>
          <w:shd w:val="clear" w:color="auto" w:fill="FFFFFF"/>
        </w:rPr>
        <w:t>+90 553 228 38 77</w:t>
      </w:r>
      <w:r>
        <w:t xml:space="preserve"> </w:t>
      </w:r>
      <w:r w:rsidRPr="00A0739E">
        <w:rPr>
          <w:rFonts w:cstheme="minorHAnsi"/>
          <w:sz w:val="20"/>
          <w:szCs w:val="20"/>
        </w:rPr>
        <w:t xml:space="preserve">numarasına telefon ile </w:t>
      </w:r>
      <w:r w:rsidRPr="000E0C83">
        <w:rPr>
          <w:rFonts w:eastAsia="Times New Roman" w:cstheme="minorHAnsi"/>
          <w:color w:val="222222"/>
          <w:sz w:val="20"/>
          <w:szCs w:val="20"/>
        </w:rPr>
        <w:t>ATACERT Global Teknik Kontrol Belgelendirme</w:t>
      </w:r>
      <w:r>
        <w:rPr>
          <w:rFonts w:eastAsia="Times New Roman" w:cstheme="minorHAnsi"/>
          <w:color w:val="222222"/>
          <w:sz w:val="20"/>
          <w:szCs w:val="20"/>
        </w:rPr>
        <w:t>ye</w:t>
      </w:r>
      <w:r w:rsidRPr="00A0739E">
        <w:rPr>
          <w:rFonts w:cstheme="minorHAnsi"/>
          <w:sz w:val="20"/>
          <w:szCs w:val="20"/>
        </w:rPr>
        <w:t xml:space="preserve"> iletilebilir.</w:t>
      </w:r>
    </w:p>
    <w:p w:rsidR="006F0D72" w:rsidRPr="00CC434D" w:rsidRDefault="006F0D72" w:rsidP="006F0D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E2511">
        <w:rPr>
          <w:b/>
          <w:sz w:val="20"/>
        </w:rPr>
        <w:t>ATACERT</w:t>
      </w:r>
      <w:r w:rsidRPr="00541C80">
        <w:rPr>
          <w:b/>
          <w:sz w:val="20"/>
        </w:rPr>
        <w:t xml:space="preserve"> Belgelendirme</w:t>
      </w:r>
      <w:r>
        <w:rPr>
          <w:sz w:val="20"/>
        </w:rPr>
        <w:t>nin</w:t>
      </w:r>
      <w:r w:rsidRPr="00CC434D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müşteriden gelen itirazları</w:t>
      </w:r>
      <w:r w:rsidRPr="00CC434D">
        <w:rPr>
          <w:rFonts w:cstheme="minorHAnsi"/>
          <w:sz w:val="20"/>
          <w:szCs w:val="20"/>
        </w:rPr>
        <w:t xml:space="preserve"> gizlilikle ele alır. Bu </w:t>
      </w:r>
      <w:proofErr w:type="gramStart"/>
      <w:r w:rsidRPr="00CC434D">
        <w:rPr>
          <w:rFonts w:cstheme="minorHAnsi"/>
          <w:sz w:val="20"/>
          <w:szCs w:val="20"/>
        </w:rPr>
        <w:t>prosedür</w:t>
      </w:r>
      <w:proofErr w:type="gramEnd"/>
      <w:r w:rsidRPr="00CC434D">
        <w:rPr>
          <w:rFonts w:cstheme="minorHAnsi"/>
          <w:sz w:val="20"/>
          <w:szCs w:val="20"/>
        </w:rPr>
        <w:t xml:space="preserve"> de yer alan çalışmalar ve yazışmalarla ilgili akreditasyon</w:t>
      </w:r>
      <w:r>
        <w:rPr>
          <w:rFonts w:cstheme="minorHAnsi"/>
          <w:sz w:val="20"/>
          <w:szCs w:val="20"/>
        </w:rPr>
        <w:t xml:space="preserve"> </w:t>
      </w:r>
      <w:r w:rsidRPr="00CC434D">
        <w:rPr>
          <w:rFonts w:cstheme="minorHAnsi"/>
          <w:sz w:val="20"/>
          <w:szCs w:val="20"/>
        </w:rPr>
        <w:t>kuruluşu, ilgili bakanlıklar ve TC Mahkemeleri haricinde hiçbir üçüncü kurum ya da kişiye bilgi verilmez.</w:t>
      </w:r>
    </w:p>
    <w:p w:rsidR="006F0D72" w:rsidRPr="00A0739E" w:rsidRDefault="006F0D72" w:rsidP="006F0D7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F0D72" w:rsidRPr="00CB3EF7" w:rsidRDefault="006F0D72" w:rsidP="006F0D72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Müşteri tarafından gelen itirazlar,</w:t>
      </w:r>
      <w:r w:rsidRPr="00CB3EF7">
        <w:rPr>
          <w:sz w:val="20"/>
        </w:rPr>
        <w:t xml:space="preserve"> 17020 Yönetim temsilcisi veya </w:t>
      </w:r>
      <w:proofErr w:type="gramStart"/>
      <w:r>
        <w:rPr>
          <w:sz w:val="20"/>
        </w:rPr>
        <w:t>departman</w:t>
      </w:r>
      <w:proofErr w:type="gramEnd"/>
      <w:r>
        <w:rPr>
          <w:sz w:val="20"/>
        </w:rPr>
        <w:t xml:space="preserve"> yöneticisi</w:t>
      </w:r>
      <w:r w:rsidRPr="00CB3EF7">
        <w:rPr>
          <w:sz w:val="20"/>
        </w:rPr>
        <w:t xml:space="preserve"> tarafından alınır. </w:t>
      </w:r>
    </w:p>
    <w:p w:rsidR="006F0D72" w:rsidRPr="00CB3EF7" w:rsidRDefault="006F0D72" w:rsidP="006F0D72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 w:rsidRPr="00CB3EF7">
        <w:rPr>
          <w:sz w:val="20"/>
        </w:rPr>
        <w:t xml:space="preserve">17020 Yönetim temsilcisine gelen teknik konulardaki </w:t>
      </w:r>
      <w:r>
        <w:rPr>
          <w:sz w:val="20"/>
        </w:rPr>
        <w:t>itirazlar</w:t>
      </w:r>
      <w:r w:rsidRPr="00CB3EF7">
        <w:rPr>
          <w:sz w:val="20"/>
        </w:rPr>
        <w:t xml:space="preserve"> </w:t>
      </w:r>
      <w:r>
        <w:rPr>
          <w:rFonts w:cstheme="minorHAnsi"/>
          <w:sz w:val="20"/>
          <w:szCs w:val="20"/>
        </w:rPr>
        <w:t>Muayene ve Ürün Uygunlu Değerlendirme Departmanı İtiraz Formu</w:t>
      </w:r>
      <w:r w:rsidRPr="00CB3EF7">
        <w:rPr>
          <w:sz w:val="20"/>
        </w:rPr>
        <w:t xml:space="preserve"> </w:t>
      </w:r>
      <w:r>
        <w:rPr>
          <w:sz w:val="20"/>
        </w:rPr>
        <w:t xml:space="preserve">ile alınır ve Departman </w:t>
      </w:r>
      <w:r w:rsidRPr="00CB3EF7">
        <w:rPr>
          <w:sz w:val="20"/>
        </w:rPr>
        <w:t>Yönetici</w:t>
      </w:r>
      <w:r>
        <w:rPr>
          <w:sz w:val="20"/>
        </w:rPr>
        <w:t>sin</w:t>
      </w:r>
      <w:r w:rsidRPr="00CB3EF7">
        <w:rPr>
          <w:sz w:val="20"/>
        </w:rPr>
        <w:t xml:space="preserve">e iletilir. </w:t>
      </w:r>
    </w:p>
    <w:p w:rsidR="006F0D72" w:rsidRPr="00CB3EF7" w:rsidRDefault="006F0D72" w:rsidP="006F0D72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İtirazın</w:t>
      </w:r>
      <w:r w:rsidRPr="00CB3EF7">
        <w:rPr>
          <w:sz w:val="20"/>
        </w:rPr>
        <w:t xml:space="preserve"> </w:t>
      </w:r>
      <w:r w:rsidRPr="008E2511">
        <w:rPr>
          <w:b/>
          <w:sz w:val="20"/>
        </w:rPr>
        <w:t>ATACERT</w:t>
      </w:r>
      <w:r w:rsidRPr="00541C80">
        <w:rPr>
          <w:b/>
          <w:sz w:val="20"/>
        </w:rPr>
        <w:t xml:space="preserve"> Belgelendirme</w:t>
      </w:r>
      <w:r>
        <w:rPr>
          <w:sz w:val="20"/>
        </w:rPr>
        <w:t xml:space="preserve">nin </w:t>
      </w:r>
      <w:r w:rsidRPr="00CB3EF7">
        <w:rPr>
          <w:sz w:val="20"/>
        </w:rPr>
        <w:t>sorumlu olduğu ürün belgelendirme</w:t>
      </w:r>
      <w:r>
        <w:rPr>
          <w:sz w:val="20"/>
        </w:rPr>
        <w:t xml:space="preserve">, muayene ve </w:t>
      </w:r>
      <w:r w:rsidRPr="00CB3EF7">
        <w:rPr>
          <w:sz w:val="20"/>
        </w:rPr>
        <w:t>gözetim faali</w:t>
      </w:r>
      <w:r>
        <w:rPr>
          <w:sz w:val="20"/>
        </w:rPr>
        <w:t xml:space="preserve">yetleriyle ilgili olup olmadığı kontrol edilir. </w:t>
      </w:r>
      <w:r w:rsidRPr="00CB3EF7">
        <w:rPr>
          <w:sz w:val="20"/>
        </w:rPr>
        <w:t xml:space="preserve"> </w:t>
      </w:r>
    </w:p>
    <w:p w:rsidR="006F0D72" w:rsidRPr="00CB3EF7" w:rsidRDefault="006F0D72" w:rsidP="006F0D72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İtiraz</w:t>
      </w:r>
      <w:r w:rsidRPr="00CB3EF7">
        <w:rPr>
          <w:sz w:val="20"/>
        </w:rPr>
        <w:t>, ürün belgelendirme</w:t>
      </w:r>
      <w:r>
        <w:rPr>
          <w:sz w:val="20"/>
        </w:rPr>
        <w:t xml:space="preserve">, </w:t>
      </w:r>
      <w:r w:rsidRPr="00CB3EF7">
        <w:rPr>
          <w:sz w:val="20"/>
        </w:rPr>
        <w:t>muayene</w:t>
      </w:r>
      <w:r>
        <w:rPr>
          <w:sz w:val="20"/>
        </w:rPr>
        <w:t>,</w:t>
      </w:r>
      <w:r w:rsidRPr="00CB3EF7">
        <w:rPr>
          <w:sz w:val="20"/>
        </w:rPr>
        <w:t xml:space="preserve"> gözetim faaliyetleriyle ilgiliyse </w:t>
      </w:r>
      <w:proofErr w:type="gramStart"/>
      <w:r w:rsidRPr="00CB3EF7">
        <w:rPr>
          <w:sz w:val="20"/>
        </w:rPr>
        <w:t>şikayeti</w:t>
      </w:r>
      <w:proofErr w:type="gramEnd"/>
      <w:r w:rsidRPr="00CB3EF7">
        <w:rPr>
          <w:sz w:val="20"/>
        </w:rPr>
        <w:t xml:space="preserve"> </w:t>
      </w:r>
      <w:r>
        <w:rPr>
          <w:sz w:val="20"/>
        </w:rPr>
        <w:t>gözden geçirilerek kök neden bulunur</w:t>
      </w:r>
      <w:r w:rsidRPr="00CB3EF7">
        <w:rPr>
          <w:sz w:val="20"/>
        </w:rPr>
        <w:t xml:space="preserve">. </w:t>
      </w:r>
      <w:r>
        <w:rPr>
          <w:sz w:val="20"/>
        </w:rPr>
        <w:t>İtiraz durumu sonuçlandırılarak müşteriye bilgi verilir.</w:t>
      </w:r>
    </w:p>
    <w:p w:rsidR="006F0D72" w:rsidRPr="00CB3EF7" w:rsidRDefault="006F0D72" w:rsidP="006F0D72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İtiraz</w:t>
      </w:r>
      <w:r w:rsidRPr="00CB3EF7">
        <w:rPr>
          <w:sz w:val="20"/>
        </w:rPr>
        <w:t xml:space="preserve"> sahibine iletilecek olan karar, </w:t>
      </w:r>
      <w:r>
        <w:rPr>
          <w:sz w:val="20"/>
        </w:rPr>
        <w:t>itiraz edilen</w:t>
      </w:r>
      <w:r w:rsidRPr="00CB3EF7">
        <w:rPr>
          <w:sz w:val="20"/>
        </w:rPr>
        <w:t xml:space="preserve"> hususlara önceden müdahil olmamış </w:t>
      </w:r>
      <w:r>
        <w:rPr>
          <w:sz w:val="20"/>
        </w:rPr>
        <w:t>çalışan tarafından alınır ve onaylanır.</w:t>
      </w:r>
    </w:p>
    <w:p w:rsidR="006F0D72" w:rsidRPr="00CB3EF7" w:rsidRDefault="006F0D72" w:rsidP="006F0D72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 w:rsidRPr="00CB3EF7">
        <w:rPr>
          <w:sz w:val="20"/>
        </w:rPr>
        <w:t xml:space="preserve">İlgili muayene faaliyetlerinde görev almayan Teknik Yönetici </w:t>
      </w:r>
      <w:r>
        <w:rPr>
          <w:sz w:val="20"/>
        </w:rPr>
        <w:t>yapılan itirazı</w:t>
      </w:r>
      <w:r w:rsidRPr="00CB3EF7">
        <w:rPr>
          <w:sz w:val="20"/>
        </w:rPr>
        <w:t xml:space="preserve"> değerlendirir</w:t>
      </w:r>
      <w:r>
        <w:rPr>
          <w:sz w:val="20"/>
        </w:rPr>
        <w:t xml:space="preserve">, </w:t>
      </w:r>
      <w:r w:rsidRPr="00CB3EF7">
        <w:rPr>
          <w:sz w:val="20"/>
        </w:rPr>
        <w:t xml:space="preserve">gerekli </w:t>
      </w:r>
      <w:r>
        <w:rPr>
          <w:sz w:val="20"/>
        </w:rPr>
        <w:t xml:space="preserve">olduğu </w:t>
      </w:r>
      <w:r w:rsidRPr="00CB3EF7">
        <w:rPr>
          <w:sz w:val="20"/>
        </w:rPr>
        <w:t xml:space="preserve">durumlarda ve </w:t>
      </w:r>
      <w:r>
        <w:rPr>
          <w:sz w:val="20"/>
        </w:rPr>
        <w:t>uygun</w:t>
      </w:r>
      <w:r w:rsidRPr="00CB3EF7">
        <w:rPr>
          <w:sz w:val="20"/>
        </w:rPr>
        <w:t xml:space="preserve"> görürse gerekli düzeltici- önleyici faaliyetler başlatı</w:t>
      </w:r>
      <w:r>
        <w:rPr>
          <w:sz w:val="20"/>
        </w:rPr>
        <w:t>lı</w:t>
      </w:r>
      <w:r w:rsidRPr="00CB3EF7">
        <w:rPr>
          <w:sz w:val="20"/>
        </w:rPr>
        <w:t xml:space="preserve">r. </w:t>
      </w:r>
    </w:p>
    <w:p w:rsidR="006F0D72" w:rsidRPr="00CB3EF7" w:rsidRDefault="006F0D72" w:rsidP="006F0D72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 w:rsidRPr="00CB3EF7">
        <w:rPr>
          <w:sz w:val="20"/>
        </w:rPr>
        <w:t xml:space="preserve">Söz konusu </w:t>
      </w:r>
      <w:r>
        <w:rPr>
          <w:sz w:val="20"/>
        </w:rPr>
        <w:t>itiraz</w:t>
      </w:r>
      <w:r w:rsidRPr="00CB3EF7">
        <w:rPr>
          <w:sz w:val="20"/>
        </w:rPr>
        <w:t xml:space="preserve"> bir yanlış anlama, ayrıcalık tanınmasını isteme, programlamada öne alınma gibi konularda ise </w:t>
      </w:r>
      <w:r>
        <w:rPr>
          <w:sz w:val="20"/>
        </w:rPr>
        <w:t>Departman</w:t>
      </w:r>
      <w:r w:rsidRPr="00CB3EF7">
        <w:rPr>
          <w:sz w:val="20"/>
        </w:rPr>
        <w:t xml:space="preserve"> Yönetici</w:t>
      </w:r>
      <w:r>
        <w:rPr>
          <w:sz w:val="20"/>
        </w:rPr>
        <w:t>si</w:t>
      </w:r>
      <w:r w:rsidRPr="00CB3EF7">
        <w:rPr>
          <w:sz w:val="20"/>
        </w:rPr>
        <w:t xml:space="preserve"> şikâyetçi firma ile iletişime geçerek gerekli açıklamaları yapar.</w:t>
      </w:r>
    </w:p>
    <w:p w:rsidR="006F0D72" w:rsidRPr="00CC434D" w:rsidRDefault="006F0D72" w:rsidP="006F0D72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 w:rsidRPr="00CC434D">
        <w:rPr>
          <w:sz w:val="20"/>
        </w:rPr>
        <w:t xml:space="preserve">17020 Yönetim Temsilcisi gelen </w:t>
      </w:r>
      <w:r>
        <w:rPr>
          <w:sz w:val="20"/>
        </w:rPr>
        <w:t>itirazlarla</w:t>
      </w:r>
      <w:r w:rsidRPr="00CC434D">
        <w:rPr>
          <w:sz w:val="20"/>
        </w:rPr>
        <w:t xml:space="preserve"> ile ilgili bilgileri istatistiksel olarak değerlendirir ve bu değerlendirmeleri Yönetimin Gözden Geçirmesi Toplantısında gündeme getirir.</w:t>
      </w:r>
    </w:p>
    <w:p w:rsidR="006F0D72" w:rsidRDefault="006F0D72" w:rsidP="006F0D72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 w:rsidRPr="00CC434D">
        <w:rPr>
          <w:sz w:val="20"/>
        </w:rPr>
        <w:t xml:space="preserve">Bu </w:t>
      </w:r>
      <w:proofErr w:type="gramStart"/>
      <w:r w:rsidRPr="00CC434D">
        <w:rPr>
          <w:sz w:val="20"/>
        </w:rPr>
        <w:t>prosedürde</w:t>
      </w:r>
      <w:proofErr w:type="gramEnd"/>
      <w:r w:rsidRPr="00CC434D">
        <w:rPr>
          <w:sz w:val="20"/>
        </w:rPr>
        <w:t xml:space="preserve"> belirtilen tüm doküman ve kayıtlar kalite kaydı olarak Kayıtların Kontrolü Prosedürüne göre muhafaza edilir</w:t>
      </w:r>
      <w:r>
        <w:rPr>
          <w:sz w:val="20"/>
        </w:rPr>
        <w:t>.</w:t>
      </w:r>
    </w:p>
    <w:p w:rsidR="006F0D72" w:rsidRPr="00905AC9" w:rsidRDefault="006F0D72" w:rsidP="006F0D72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sz w:val="20"/>
        </w:rPr>
      </w:pPr>
      <w:r w:rsidRPr="00905AC9">
        <w:rPr>
          <w:sz w:val="20"/>
        </w:rPr>
        <w:lastRenderedPageBreak/>
        <w:t xml:space="preserve">Müşterinin zarara uğramış olması ve </w:t>
      </w:r>
      <w:r>
        <w:rPr>
          <w:sz w:val="20"/>
        </w:rPr>
        <w:t>yapmış olduğu itirazda</w:t>
      </w:r>
      <w:r w:rsidRPr="00905AC9">
        <w:rPr>
          <w:sz w:val="20"/>
        </w:rPr>
        <w:t xml:space="preserve"> haklı bulunması durumunda mesleki sorumluluk sigortası devreye girmektedir.</w:t>
      </w:r>
    </w:p>
    <w:p w:rsidR="006F0D72" w:rsidRDefault="006F0D72" w:rsidP="006F0D72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F0D72" w:rsidRPr="0037300E" w:rsidRDefault="006F0D72" w:rsidP="006F0D72">
      <w:pPr>
        <w:spacing w:after="0" w:line="240" w:lineRule="auto"/>
        <w:rPr>
          <w:rFonts w:cstheme="minorHAnsi"/>
          <w:b/>
          <w:sz w:val="20"/>
          <w:szCs w:val="20"/>
        </w:rPr>
      </w:pPr>
      <w:r w:rsidRPr="0037300E">
        <w:rPr>
          <w:rFonts w:cstheme="minorHAnsi"/>
          <w:b/>
          <w:sz w:val="20"/>
          <w:szCs w:val="20"/>
        </w:rPr>
        <w:t>7.</w:t>
      </w:r>
      <w:r>
        <w:rPr>
          <w:rFonts w:cstheme="minorHAnsi"/>
          <w:b/>
          <w:sz w:val="20"/>
          <w:szCs w:val="20"/>
        </w:rPr>
        <w:t xml:space="preserve"> </w:t>
      </w:r>
      <w:r w:rsidRPr="0037300E">
        <w:rPr>
          <w:rFonts w:cstheme="minorHAnsi"/>
          <w:b/>
          <w:sz w:val="20"/>
          <w:szCs w:val="20"/>
        </w:rPr>
        <w:t>RE</w:t>
      </w:r>
      <w:r>
        <w:rPr>
          <w:rFonts w:cstheme="minorHAnsi"/>
          <w:b/>
          <w:sz w:val="20"/>
          <w:szCs w:val="20"/>
        </w:rPr>
        <w:t>VİZYON DURUMU</w:t>
      </w:r>
    </w:p>
    <w:p w:rsidR="006F0D72" w:rsidRDefault="006F0D72" w:rsidP="006F0D7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</w:rPr>
      </w:pPr>
      <w:r w:rsidRPr="00965D2E">
        <w:rPr>
          <w:rFonts w:cstheme="minorHAnsi"/>
          <w:sz w:val="20"/>
          <w:szCs w:val="20"/>
        </w:rPr>
        <w:t>İlgili Prosedür</w:t>
      </w:r>
      <w:r>
        <w:rPr>
          <w:rFonts w:cstheme="minorHAnsi"/>
          <w:sz w:val="20"/>
          <w:szCs w:val="20"/>
        </w:rPr>
        <w:t>ün</w:t>
      </w:r>
      <w:r w:rsidRPr="00965D2E">
        <w:rPr>
          <w:rFonts w:cstheme="minorHAnsi"/>
          <w:sz w:val="20"/>
          <w:szCs w:val="20"/>
        </w:rPr>
        <w:t xml:space="preserve"> gerekli olduğu koşullarda </w:t>
      </w:r>
      <w:proofErr w:type="gramStart"/>
      <w:r w:rsidRPr="00965D2E">
        <w:rPr>
          <w:rFonts w:cstheme="minorHAnsi"/>
          <w:sz w:val="20"/>
          <w:szCs w:val="20"/>
        </w:rPr>
        <w:t>revizyonu</w:t>
      </w:r>
      <w:proofErr w:type="gramEnd"/>
      <w:r w:rsidRPr="00965D2E">
        <w:rPr>
          <w:rFonts w:cstheme="minorHAnsi"/>
          <w:sz w:val="20"/>
          <w:szCs w:val="20"/>
        </w:rPr>
        <w:t xml:space="preserve"> yapılacaktır</w:t>
      </w:r>
      <w:r>
        <w:rPr>
          <w:rFonts w:cstheme="minorHAnsi"/>
          <w:sz w:val="20"/>
          <w:szCs w:val="20"/>
        </w:rPr>
        <w:t>.</w:t>
      </w:r>
      <w:bookmarkEnd w:id="0"/>
    </w:p>
    <w:sectPr w:rsidR="006F0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A1A"/>
    <w:multiLevelType w:val="hybridMultilevel"/>
    <w:tmpl w:val="3586BB7A"/>
    <w:lvl w:ilvl="0" w:tplc="BE3A37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8FF"/>
    <w:multiLevelType w:val="hybridMultilevel"/>
    <w:tmpl w:val="6526B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058"/>
    <w:multiLevelType w:val="hybridMultilevel"/>
    <w:tmpl w:val="B630B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E7F"/>
    <w:multiLevelType w:val="hybridMultilevel"/>
    <w:tmpl w:val="B1742A5A"/>
    <w:lvl w:ilvl="0" w:tplc="30F46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156D"/>
    <w:multiLevelType w:val="hybridMultilevel"/>
    <w:tmpl w:val="50204C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D207E"/>
    <w:multiLevelType w:val="hybridMultilevel"/>
    <w:tmpl w:val="8FFAED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E30C8"/>
    <w:multiLevelType w:val="hybridMultilevel"/>
    <w:tmpl w:val="9368A5FA"/>
    <w:lvl w:ilvl="0" w:tplc="F9FE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2B9A"/>
    <w:multiLevelType w:val="hybridMultilevel"/>
    <w:tmpl w:val="04C08FB8"/>
    <w:lvl w:ilvl="0" w:tplc="09485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035A"/>
    <w:multiLevelType w:val="hybridMultilevel"/>
    <w:tmpl w:val="B5BA4756"/>
    <w:lvl w:ilvl="0" w:tplc="2D488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4087B"/>
    <w:multiLevelType w:val="hybridMultilevel"/>
    <w:tmpl w:val="1B90B3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B2D62"/>
    <w:multiLevelType w:val="hybridMultilevel"/>
    <w:tmpl w:val="B1742A5A"/>
    <w:lvl w:ilvl="0" w:tplc="30F46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3368"/>
    <w:multiLevelType w:val="hybridMultilevel"/>
    <w:tmpl w:val="DA9896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7095"/>
    <w:multiLevelType w:val="hybridMultilevel"/>
    <w:tmpl w:val="9A06557C"/>
    <w:lvl w:ilvl="0" w:tplc="D6564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30C0"/>
    <w:multiLevelType w:val="hybridMultilevel"/>
    <w:tmpl w:val="4382229E"/>
    <w:lvl w:ilvl="0" w:tplc="5B8EB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6152C"/>
    <w:multiLevelType w:val="hybridMultilevel"/>
    <w:tmpl w:val="92AEA910"/>
    <w:lvl w:ilvl="0" w:tplc="61464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B53EB"/>
    <w:multiLevelType w:val="hybridMultilevel"/>
    <w:tmpl w:val="0E6498F8"/>
    <w:lvl w:ilvl="0" w:tplc="CDFCD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3D1F"/>
    <w:multiLevelType w:val="hybridMultilevel"/>
    <w:tmpl w:val="ED3479AC"/>
    <w:lvl w:ilvl="0" w:tplc="5E6E3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B294A"/>
    <w:multiLevelType w:val="hybridMultilevel"/>
    <w:tmpl w:val="99FE0F50"/>
    <w:lvl w:ilvl="0" w:tplc="ED101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B1C86"/>
    <w:multiLevelType w:val="hybridMultilevel"/>
    <w:tmpl w:val="459ABC58"/>
    <w:lvl w:ilvl="0" w:tplc="19E83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14"/>
  </w:num>
  <w:num w:numId="10">
    <w:abstractNumId w:val="15"/>
  </w:num>
  <w:num w:numId="11">
    <w:abstractNumId w:val="17"/>
  </w:num>
  <w:num w:numId="12">
    <w:abstractNumId w:val="6"/>
  </w:num>
  <w:num w:numId="13">
    <w:abstractNumId w:val="18"/>
  </w:num>
  <w:num w:numId="14">
    <w:abstractNumId w:val="13"/>
  </w:num>
  <w:num w:numId="15">
    <w:abstractNumId w:val="16"/>
  </w:num>
  <w:num w:numId="16">
    <w:abstractNumId w:val="1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0"/>
    <w:rsid w:val="000101BB"/>
    <w:rsid w:val="00034B33"/>
    <w:rsid w:val="00046CF2"/>
    <w:rsid w:val="000737BC"/>
    <w:rsid w:val="000959A8"/>
    <w:rsid w:val="000C06DC"/>
    <w:rsid w:val="000E0C83"/>
    <w:rsid w:val="000E1EEF"/>
    <w:rsid w:val="000F4C8C"/>
    <w:rsid w:val="0012082D"/>
    <w:rsid w:val="001435A3"/>
    <w:rsid w:val="00180742"/>
    <w:rsid w:val="00186D66"/>
    <w:rsid w:val="001A688F"/>
    <w:rsid w:val="001E7A61"/>
    <w:rsid w:val="001F31CE"/>
    <w:rsid w:val="00202C78"/>
    <w:rsid w:val="002048BB"/>
    <w:rsid w:val="002261AE"/>
    <w:rsid w:val="002631F6"/>
    <w:rsid w:val="0028065E"/>
    <w:rsid w:val="002948C9"/>
    <w:rsid w:val="00297125"/>
    <w:rsid w:val="002D611D"/>
    <w:rsid w:val="002F2BC0"/>
    <w:rsid w:val="00332A45"/>
    <w:rsid w:val="0034081A"/>
    <w:rsid w:val="00362B20"/>
    <w:rsid w:val="0037300E"/>
    <w:rsid w:val="003736B6"/>
    <w:rsid w:val="003A375D"/>
    <w:rsid w:val="003D4D42"/>
    <w:rsid w:val="003E2F90"/>
    <w:rsid w:val="004127B7"/>
    <w:rsid w:val="00425106"/>
    <w:rsid w:val="004575FB"/>
    <w:rsid w:val="004635CF"/>
    <w:rsid w:val="00463EBA"/>
    <w:rsid w:val="004A15B4"/>
    <w:rsid w:val="004B24CD"/>
    <w:rsid w:val="004C34C7"/>
    <w:rsid w:val="004D3399"/>
    <w:rsid w:val="004E2AC6"/>
    <w:rsid w:val="00503D63"/>
    <w:rsid w:val="00510E46"/>
    <w:rsid w:val="00541C80"/>
    <w:rsid w:val="0057575C"/>
    <w:rsid w:val="005757E6"/>
    <w:rsid w:val="005909B7"/>
    <w:rsid w:val="005C0597"/>
    <w:rsid w:val="005F72C7"/>
    <w:rsid w:val="006157B0"/>
    <w:rsid w:val="006A63E1"/>
    <w:rsid w:val="006C1F66"/>
    <w:rsid w:val="006E2FE1"/>
    <w:rsid w:val="006F0D72"/>
    <w:rsid w:val="007409C2"/>
    <w:rsid w:val="00772387"/>
    <w:rsid w:val="00776B9E"/>
    <w:rsid w:val="0079300D"/>
    <w:rsid w:val="007A05EC"/>
    <w:rsid w:val="007D155D"/>
    <w:rsid w:val="00807CC1"/>
    <w:rsid w:val="0085242B"/>
    <w:rsid w:val="0088511C"/>
    <w:rsid w:val="008C084B"/>
    <w:rsid w:val="008D1306"/>
    <w:rsid w:val="008E2511"/>
    <w:rsid w:val="009015C3"/>
    <w:rsid w:val="00905AC9"/>
    <w:rsid w:val="009150CC"/>
    <w:rsid w:val="00917580"/>
    <w:rsid w:val="00927FF0"/>
    <w:rsid w:val="00962F6D"/>
    <w:rsid w:val="00965D2E"/>
    <w:rsid w:val="009C29EF"/>
    <w:rsid w:val="00A0739E"/>
    <w:rsid w:val="00A54DCB"/>
    <w:rsid w:val="00AC7100"/>
    <w:rsid w:val="00AE4924"/>
    <w:rsid w:val="00AE4973"/>
    <w:rsid w:val="00AE4D3D"/>
    <w:rsid w:val="00B46CE1"/>
    <w:rsid w:val="00B645FB"/>
    <w:rsid w:val="00B64775"/>
    <w:rsid w:val="00BB5849"/>
    <w:rsid w:val="00BC1318"/>
    <w:rsid w:val="00BC78CF"/>
    <w:rsid w:val="00BD0823"/>
    <w:rsid w:val="00C17646"/>
    <w:rsid w:val="00C7626A"/>
    <w:rsid w:val="00CA1B9E"/>
    <w:rsid w:val="00CB3EF7"/>
    <w:rsid w:val="00CB4B2D"/>
    <w:rsid w:val="00CB5BA7"/>
    <w:rsid w:val="00CC434D"/>
    <w:rsid w:val="00D22173"/>
    <w:rsid w:val="00D3438A"/>
    <w:rsid w:val="00D60DDA"/>
    <w:rsid w:val="00D9423E"/>
    <w:rsid w:val="00DB598D"/>
    <w:rsid w:val="00DD2C66"/>
    <w:rsid w:val="00E11E95"/>
    <w:rsid w:val="00E13178"/>
    <w:rsid w:val="00E34C64"/>
    <w:rsid w:val="00E70548"/>
    <w:rsid w:val="00E9398F"/>
    <w:rsid w:val="00F20417"/>
    <w:rsid w:val="00F53E29"/>
    <w:rsid w:val="00F6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93D5"/>
  <w15:chartTrackingRefBased/>
  <w15:docId w15:val="{9C8ACBCA-A3F5-465F-AE51-C89FFF8E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78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C0597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D2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3855-7F86-4996-A47A-15ABEE98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Romancı's</dc:creator>
  <cp:keywords/>
  <dc:description/>
  <cp:lastModifiedBy>Romancı's</cp:lastModifiedBy>
  <cp:revision>4</cp:revision>
  <dcterms:created xsi:type="dcterms:W3CDTF">2019-08-21T16:20:00Z</dcterms:created>
  <dcterms:modified xsi:type="dcterms:W3CDTF">2019-08-21T16:28:00Z</dcterms:modified>
</cp:coreProperties>
</file>